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/>
        </w:rPr>
        <w:drawing>
          <wp:inline distT="0" distB="0" distL="0" distR="0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="微软雅黑" w:hAnsi="微软雅黑" w:eastAsia="微软雅黑"/>
          <w:b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中南财经政法大学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毕业设计（论文）管理系统</w:t>
      </w: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ascii="微软雅黑" w:hAnsi="微软雅黑" w:eastAsia="微软雅黑"/>
          <w:b/>
          <w:color w:val="303030"/>
          <w:sz w:val="52"/>
          <w:szCs w:val="28"/>
        </w:rPr>
        <w:t>简易使用手册</w:t>
      </w:r>
    </w:p>
    <w:p>
      <w:pPr>
        <w:spacing w:line="276" w:lineRule="auto"/>
        <w:jc w:val="center"/>
        <w:rPr>
          <w:rFonts w:ascii="微软雅黑" w:hAnsi="微软雅黑" w:eastAsia="微软雅黑"/>
          <w:b/>
          <w:color w:val="303030"/>
          <w:sz w:val="52"/>
          <w:szCs w:val="28"/>
        </w:rPr>
      </w:pP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（</w:t>
      </w:r>
      <w:r>
        <w:rPr>
          <w:rFonts w:ascii="微软雅黑" w:hAnsi="微软雅黑" w:eastAsia="微软雅黑"/>
          <w:b/>
          <w:color w:val="303030"/>
          <w:sz w:val="52"/>
          <w:szCs w:val="28"/>
        </w:rPr>
        <w:t>学生</w:t>
      </w:r>
      <w:r>
        <w:rPr>
          <w:rFonts w:hint="eastAsia" w:ascii="微软雅黑" w:hAnsi="微软雅黑" w:eastAsia="微软雅黑"/>
          <w:b/>
          <w:color w:val="303030"/>
          <w:sz w:val="52"/>
          <w:szCs w:val="28"/>
        </w:rPr>
        <w:t>）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52"/>
          <w:szCs w:val="28"/>
        </w:rPr>
      </w:pP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36"/>
          <w:szCs w:val="28"/>
        </w:rPr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同方知网数字出版技术股份有限公司</w:t>
      </w:r>
    </w:p>
    <w:p>
      <w:pPr>
        <w:spacing w:line="276" w:lineRule="auto"/>
        <w:jc w:val="center"/>
      </w:pPr>
      <w:r>
        <w:rPr>
          <w:rFonts w:hint="eastAsia" w:ascii="微软雅黑" w:hAnsi="微软雅黑" w:eastAsia="微软雅黑"/>
          <w:color w:val="303030"/>
          <w:sz w:val="36"/>
          <w:szCs w:val="28"/>
        </w:rPr>
        <w:t>2</w:t>
      </w:r>
      <w:r>
        <w:rPr>
          <w:rFonts w:ascii="微软雅黑" w:hAnsi="微软雅黑" w:eastAsia="微软雅黑"/>
          <w:color w:val="303030"/>
          <w:sz w:val="36"/>
          <w:szCs w:val="28"/>
        </w:rPr>
        <w:t>0</w:t>
      </w:r>
      <w:r>
        <w:rPr>
          <w:rFonts w:hint="eastAsia" w:ascii="微软雅黑" w:hAnsi="微软雅黑" w:eastAsia="微软雅黑"/>
          <w:color w:val="303030"/>
          <w:sz w:val="36"/>
          <w:szCs w:val="28"/>
          <w:lang w:val="en-US" w:eastAsia="zh-CN"/>
        </w:rPr>
        <w:t>20</w:t>
      </w:r>
      <w:bookmarkStart w:id="13" w:name="_GoBack"/>
      <w:bookmarkEnd w:id="13"/>
      <w:r>
        <w:rPr>
          <w:rFonts w:hint="eastAsia" w:ascii="微软雅黑" w:hAnsi="微软雅黑" w:eastAsia="微软雅黑"/>
          <w:color w:val="303030"/>
          <w:sz w:val="36"/>
          <w:szCs w:val="28"/>
        </w:rPr>
        <w:t>年</w:t>
      </w:r>
      <w:r>
        <w:rPr>
          <w:rFonts w:ascii="微软雅黑" w:hAnsi="微软雅黑" w:eastAsia="微软雅黑"/>
          <w:color w:val="303030"/>
          <w:sz w:val="36"/>
          <w:szCs w:val="28"/>
        </w:rPr>
        <w:t>10</w:t>
      </w:r>
      <w:r>
        <w:rPr>
          <w:rFonts w:hint="eastAsia" w:ascii="微软雅黑" w:hAnsi="微软雅黑" w:eastAsia="微软雅黑"/>
          <w:color w:val="303030"/>
          <w:sz w:val="36"/>
          <w:szCs w:val="28"/>
        </w:rPr>
        <w:t>月</w:t>
      </w:r>
    </w:p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0" w:name="_Toc21864685"/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→→→2报题和达成师生双选</w:t>
      </w:r>
      <w:r>
        <w:rPr>
          <w:rFonts w:hint="eastAsia"/>
          <w:color w:val="FF0000"/>
        </w:rPr>
        <w:t>（如学院要求自行报题，则需要进行此操作，否则不需要）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rFonts w:hint="eastAsia"/>
          <w:color w:val="303030"/>
        </w:rPr>
        <w:t>提交毕业设计（论文）各版本文档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5</w:t>
      </w:r>
      <w:r>
        <w:rPr>
          <w:rFonts w:hint="eastAsia"/>
          <w:color w:val="303030"/>
        </w:rPr>
        <w:t>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rPr>
          <w:rFonts w:hint="eastAsia"/>
          <w:color w:val="303030"/>
        </w:rPr>
        <w:t>查看成绩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7导出文档</w:t>
      </w:r>
    </w:p>
    <w:p>
      <w:pPr>
        <w:spacing w:line="276" w:lineRule="auto"/>
        <w:ind w:firstLine="420" w:firstLineChars="200"/>
        <w:rPr>
          <w:color w:val="303030"/>
        </w:rPr>
      </w:pP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color w:val="303030"/>
        </w:rPr>
        <w:drawing>
          <wp:inline distT="0" distB="0" distL="0" distR="0">
            <wp:extent cx="5274310" cy="3499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12" w:after="156" w:line="276" w:lineRule="auto"/>
      </w:pPr>
      <w:bookmarkStart w:id="1" w:name="_Toc21864686"/>
      <w:r>
        <w:rPr>
          <w:rFonts w:hint="eastAsia"/>
        </w:rPr>
        <w:t>学生</w:t>
      </w:r>
      <w:r>
        <w:t>功能操作指南</w:t>
      </w:r>
      <w:bookmarkEnd w:id="1"/>
    </w:p>
    <w:p>
      <w:pPr>
        <w:pStyle w:val="3"/>
      </w:pPr>
      <w:bookmarkStart w:id="2" w:name="_Toc21864687"/>
      <w:r>
        <w:t>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1864688"/>
      <w:r>
        <w:t>1.1登录系统</w:t>
      </w:r>
      <w:bookmarkEnd w:id="3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1步：进入登录页面</w:t>
      </w:r>
      <w:r>
        <w:fldChar w:fldCharType="begin"/>
      </w:r>
      <w:r>
        <w:instrText xml:space="preserve"> HYPERLINK "http://zuel.co.cnki.net" </w:instrText>
      </w:r>
      <w:r>
        <w:fldChar w:fldCharType="separate"/>
      </w:r>
      <w:r>
        <w:rPr>
          <w:rStyle w:val="13"/>
        </w:rPr>
        <w:t>http://</w:t>
      </w:r>
      <w:r>
        <w:rPr>
          <w:rStyle w:val="13"/>
          <w:rFonts w:hint="eastAsia"/>
        </w:rPr>
        <w:t>zuel</w:t>
      </w:r>
      <w:r>
        <w:rPr>
          <w:rStyle w:val="13"/>
        </w:rPr>
        <w:t>.co.cnki.net</w:t>
      </w:r>
      <w:r>
        <w:rPr>
          <w:rStyle w:val="13"/>
        </w:rPr>
        <w:fldChar w:fldCharType="end"/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color w:val="303030"/>
        </w:rPr>
        <w:drawing>
          <wp:inline distT="0" distB="0" distL="0" distR="0">
            <wp:extent cx="5274310" cy="2760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21864689"/>
      <w:r>
        <w:t>1.2首次登录强制修改密码</w:t>
      </w:r>
      <w:bookmarkEnd w:id="4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pStyle w:val="3"/>
        <w:rPr>
          <w:color w:val="FF0000"/>
          <w:sz w:val="22"/>
        </w:rPr>
      </w:pPr>
      <w:bookmarkStart w:id="5" w:name="_Toc21864690"/>
      <w:r>
        <w:t>2</w:t>
      </w:r>
      <w:r>
        <w:rPr>
          <w:rFonts w:hint="eastAsia"/>
        </w:rPr>
        <w:t>报题</w:t>
      </w:r>
      <w:r>
        <w:t>和达成师生双选关系</w:t>
      </w:r>
      <w:r>
        <w:rPr>
          <w:rFonts w:hint="eastAsia"/>
          <w:color w:val="FF0000"/>
          <w:sz w:val="22"/>
        </w:rPr>
        <w:t>（如学院要求自行报题，则需要进行此操作，否则不需要）</w:t>
      </w:r>
      <w:bookmarkEnd w:id="5"/>
    </w:p>
    <w:p>
      <w:r>
        <w:drawing>
          <wp:inline distT="0" distB="0" distL="0" distR="0">
            <wp:extent cx="502920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366" cy="25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6" w:name="_Toc21864691"/>
      <w:r>
        <w:t>2.1</w:t>
      </w:r>
      <w:r>
        <w:rPr>
          <w:rFonts w:hint="eastAsia"/>
        </w:rPr>
        <w:t>学生申报题目</w:t>
      </w:r>
      <w:bookmarkEnd w:id="6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1步：选择打开“师生双选管理-学生申报课题”页面或者从首页的“申报课题”进入页面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1863090" cy="682625"/>
            <wp:effectExtent l="57150" t="57150" r="60960" b="603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5266" cy="6946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68905" cy="674370"/>
            <wp:effectExtent l="57150" t="57150" r="74295" b="495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5519" cy="67875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2步：点击列表左上角的“录入课题”，打开录入课题页面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1863090" cy="867410"/>
            <wp:effectExtent l="57150" t="57150" r="60960" b="660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6220" cy="87851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2599690" cy="1417320"/>
            <wp:effectExtent l="57150" t="57150" r="67310" b="495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8592" cy="14329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>
      <w:pPr>
        <w:pStyle w:val="5"/>
        <w:ind w:firstLine="0" w:firstLineChars="0"/>
      </w:pPr>
      <w:r>
        <w:t>2.2特别说明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*课题正式提交后，在审核前可以自行修改或者删除（此时可以“重选”指导教师）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*课题经过审核，若“审核不通过”，学生只能在原课题基础上“修改后再提交”，作为新课题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 xml:space="preserve"> </w:t>
      </w:r>
      <w:r>
        <w:rPr>
          <w:rFonts w:asciiTheme="minorEastAsia" w:hAnsiTheme="minorEastAsia"/>
          <w:color w:val="303030"/>
        </w:rPr>
        <w:drawing>
          <wp:inline distT="0" distB="0" distL="0" distR="0">
            <wp:extent cx="3106420" cy="1078230"/>
            <wp:effectExtent l="0" t="0" r="508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18299" cy="108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*课题为“审核通过”状态，如果要对课题进行修改，需要提交课题修改申请。</w:t>
      </w:r>
    </w:p>
    <w:p>
      <w:pPr>
        <w:spacing w:line="276" w:lineRule="auto"/>
        <w:ind w:firstLine="525" w:firstLineChars="25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课题</w:t>
      </w:r>
      <w:r>
        <w:rPr>
          <w:rFonts w:asciiTheme="minorEastAsia" w:hAnsiTheme="minorEastAsia"/>
          <w:color w:val="303030"/>
        </w:rPr>
        <w:t>修改</w:t>
      </w:r>
      <w:r>
        <w:rPr>
          <w:rFonts w:hint="eastAsia" w:asciiTheme="minorEastAsia" w:hAnsiTheme="minorEastAsia"/>
          <w:color w:val="303030"/>
        </w:rPr>
        <w:t>申请经过</w:t>
      </w:r>
      <w:r>
        <w:rPr>
          <w:rFonts w:asciiTheme="minorEastAsia" w:hAnsiTheme="minorEastAsia"/>
          <w:color w:val="303030"/>
        </w:rPr>
        <w:t>指导教师</w:t>
      </w:r>
      <w:r>
        <w:rPr>
          <w:rFonts w:hint="eastAsia" w:asciiTheme="minorEastAsia" w:hAnsiTheme="minorEastAsia"/>
          <w:color w:val="303030"/>
        </w:rPr>
        <w:t>审核通过后</w:t>
      </w:r>
      <w:r>
        <w:rPr>
          <w:rFonts w:asciiTheme="minorEastAsia" w:hAnsiTheme="minorEastAsia"/>
          <w:color w:val="303030"/>
        </w:rPr>
        <w:t>自动</w:t>
      </w:r>
      <w:r>
        <w:rPr>
          <w:rFonts w:hint="eastAsia" w:asciiTheme="minorEastAsia" w:hAnsiTheme="minorEastAsia"/>
          <w:color w:val="303030"/>
        </w:rPr>
        <w:t>进行修改。</w:t>
      </w:r>
    </w:p>
    <w:p>
      <w:pPr>
        <w:spacing w:line="276" w:lineRule="auto"/>
        <w:rPr>
          <w:rFonts w:ascii="Times New Roman" w:hAnsi="Times New Roman" w:eastAsia="宋体"/>
          <w:b/>
          <w:bCs/>
          <w:szCs w:val="32"/>
        </w:rPr>
      </w:pPr>
      <w:r>
        <w:rPr>
          <w:rFonts w:hint="eastAsia" w:ascii="Times New Roman" w:hAnsi="Times New Roman" w:eastAsia="宋体"/>
          <w:b/>
          <w:bCs/>
          <w:szCs w:val="32"/>
        </w:rPr>
        <w:t>2</w:t>
      </w:r>
      <w:r>
        <w:rPr>
          <w:rFonts w:ascii="Times New Roman" w:hAnsi="Times New Roman" w:eastAsia="宋体"/>
          <w:b/>
          <w:bCs/>
          <w:szCs w:val="32"/>
        </w:rPr>
        <w:t>.3选题分析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3"/>
      </w:pPr>
      <w:bookmarkStart w:id="7" w:name="_Toc21864692"/>
      <w:r>
        <w:t>3提交开题报告</w:t>
      </w:r>
      <w:bookmarkEnd w:id="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8" w:name="_Toc21864693"/>
      <w:r>
        <w:t>4提交</w:t>
      </w:r>
      <w:bookmarkEnd w:id="8"/>
      <w:r>
        <w:rPr>
          <w:rFonts w:hint="eastAsia"/>
        </w:rPr>
        <w:t>初稿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步：选择“过程文档管理-提交初稿”打开页面，或者在学生首页的“提交初稿”栏的“查看详情”打开页面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5274310" cy="2788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</w:rPr>
      </w:pPr>
      <w:r>
        <w:drawing>
          <wp:inline distT="0" distB="0" distL="0" distR="0">
            <wp:extent cx="5274310" cy="28943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jc w:val="left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步：输入关键词等内容，添加待上传的毕设（论文）文档，选择是否添加附件或其他内容。</w:t>
      </w:r>
      <w:r>
        <w:rPr>
          <w:rFonts w:hint="eastAsia" w:asciiTheme="minorEastAsia" w:hAnsiTheme="minorEastAsia"/>
          <w:color w:val="FF0000"/>
        </w:rPr>
        <w:t>初稿不检测。</w:t>
      </w:r>
      <w:r>
        <w:drawing>
          <wp:inline distT="0" distB="0" distL="0" distR="0">
            <wp:extent cx="5274310" cy="15398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303030"/>
        </w:rPr>
        <w:t>*若有需要随同毕业设计（论文）文档一起提交的网址链接、网盘地址等信息，建议在“选择附件（不检测）”栏输入内容，并一并提交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步：指导教师初稿审核通过后，可直接提交为</w:t>
      </w:r>
      <w:bookmarkStart w:id="9" w:name="_Hlk55245662"/>
      <w:r>
        <w:rPr>
          <w:rFonts w:hint="eastAsia" w:asciiTheme="minorEastAsia" w:hAnsiTheme="minorEastAsia"/>
          <w:color w:val="303030"/>
        </w:rPr>
        <w:t>检测稿（定稿）</w:t>
      </w:r>
      <w:bookmarkEnd w:id="9"/>
      <w:r>
        <w:rPr>
          <w:rFonts w:asciiTheme="minorEastAsia" w:hAnsiTheme="minorEastAsia"/>
          <w:color w:val="303030"/>
        </w:rPr>
        <w:t xml:space="preserve"> </w:t>
      </w:r>
      <w:r>
        <w:drawing>
          <wp:inline distT="0" distB="0" distL="0" distR="0">
            <wp:extent cx="5274310" cy="27095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r>
        <w:rPr>
          <w:rFonts w:hint="eastAsia"/>
        </w:rPr>
        <w:t>5</w:t>
      </w:r>
      <w:r>
        <w:t>提交</w:t>
      </w:r>
      <w:r>
        <w:rPr>
          <w:rFonts w:hint="eastAsia"/>
        </w:rPr>
        <w:t>定稿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步：选择“过程文档管理-提交定稿”打开页面，或者在学生首页的“提交定稿”栏的“查看详情”打开页面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drawing>
          <wp:inline distT="0" distB="0" distL="0" distR="0">
            <wp:extent cx="5274310" cy="27940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0" w:name="_Toc21864694"/>
      <w:r>
        <w:rPr>
          <w:rFonts w:hint="eastAsia"/>
        </w:rPr>
        <w:t>6</w:t>
      </w:r>
      <w:r>
        <w:t>参与答辩</w:t>
      </w:r>
      <w:bookmarkEnd w:id="10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步：选择“评审答辩和成绩管理-查看答辩安排”打开页面查看被安排参与的答辩情况，或者从学生首页进入页面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932305" cy="731520"/>
            <wp:effectExtent l="76200" t="57150" r="67945" b="495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68398" cy="7450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步：线下参加答辩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步：录入答辩记录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*如果学校或院系的安排是学生录入答辩记录，则需要学生自己进行录入操作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948815" cy="1125855"/>
            <wp:effectExtent l="76200" t="57150" r="70485" b="552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4998" cy="115826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*若学生无须录入答辩记录，则只需要进行“查看”即可</w:t>
      </w:r>
    </w:p>
    <w:p>
      <w:pPr>
        <w:pStyle w:val="3"/>
        <w:rPr>
          <w:rFonts w:hint="eastAsia"/>
        </w:rPr>
      </w:pPr>
      <w:r>
        <w:rPr>
          <w:rFonts w:hint="eastAsia"/>
        </w:rPr>
        <w:t>7提交最终版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步：答辩之后提交最终版检测，选择“过程文档管理-提交最终版”打开页面，或者在学生首页的“提交定稿”栏的“查看详情”打开页面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drawing>
          <wp:inline distT="0" distB="0" distL="0" distR="0">
            <wp:extent cx="5274310" cy="180022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1" w:name="_Toc21864695"/>
      <w:r>
        <w:rPr>
          <w:rFonts w:hint="eastAsia"/>
        </w:rPr>
        <w:t>8</w:t>
      </w:r>
      <w:r>
        <w:t>查看成绩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选择“评审答辩和成绩管理-查看成绩”打开页面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21864696"/>
      <w:r>
        <w:rPr>
          <w:rFonts w:hint="eastAsia"/>
        </w:rPr>
        <w:t>9</w:t>
      </w:r>
      <w:r>
        <w:t>导出文档</w:t>
      </w:r>
      <w:bookmarkEnd w:id="12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hint="eastAsia" w:asciiTheme="minorEastAsia" w:hAnsiTheme="minorEastAsia"/>
          <w:color w:val="303030"/>
        </w:rPr>
        <w:t>：在学生首页，点击“导出全部过程文档”或“导出已配置的文档”提交导出任务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：若选择“导出已配置的文档”，需要选择导出的是哪一类文档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hint="eastAsia" w:asciiTheme="minorEastAsia" w:hAnsiTheme="minorEastAsia"/>
          <w:color w:val="303030"/>
        </w:rPr>
        <w:t>：选定提交后，等待后台处理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*该过程可能需要一段时间，选择的数据越多，所需时间越长；请耐心等待后台处理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hint="eastAsia" w:asciiTheme="minorEastAsia" w:hAnsiTheme="minorEastAsia"/>
          <w:color w:val="303030"/>
        </w:rPr>
        <w:t>：后台处理完成后，点击“下载已导出的文档”，在弹框中点击“下载”按钮，即可将该文件下载到本地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*下载有效期为</w:t>
      </w:r>
      <w:r>
        <w:rPr>
          <w:rFonts w:asciiTheme="minorEastAsia" w:hAnsiTheme="minorEastAsia"/>
          <w:color w:val="303030"/>
        </w:rPr>
        <w:t>72个小时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2" w:firstLineChars="200"/>
        <w:rPr>
          <w:rFonts w:asciiTheme="minorEastAsia" w:hAnsiTheme="minorEastAsia"/>
          <w:b/>
          <w:color w:val="303030"/>
        </w:rPr>
      </w:pPr>
      <w:r>
        <w:rPr>
          <w:rFonts w:hint="eastAsia" w:asciiTheme="minorEastAsia" w:hAnsiTheme="minorEastAsia"/>
          <w:b/>
          <w:color w:val="303030"/>
        </w:rPr>
        <w:t>*学生可以选择导出：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附件1-中南财经政法大学本科生毕业论文（设计）封面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-中南财经政法大学本科生毕业论文（设计）开题报告书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附件3-中南财经政法大学本科生毕业论文（设计）写作及答辩过程控制表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以及所有已上传过的论文及附件文件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（备注：导出文档中包含已在系统中输入的内容以及教师审核后的电子签名）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FF0000"/>
        </w:rPr>
        <w:t>为了尽量优化导出文件的显示效果，避免由于内容长短导致的表格错乱情况，系统将限制每部分内容的输入上限字符数。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3E7F"/>
    <w:rsid w:val="001E77E5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6FA0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050B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27C89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3D39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4793C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4C9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217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475F"/>
    <w:rsid w:val="008C6180"/>
    <w:rsid w:val="008D06B9"/>
    <w:rsid w:val="008D3166"/>
    <w:rsid w:val="008D3772"/>
    <w:rsid w:val="008D4AD0"/>
    <w:rsid w:val="008D5185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655"/>
    <w:rsid w:val="00903D91"/>
    <w:rsid w:val="00907D1A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58A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6BCE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1C87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6C15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1AE5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2C7D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72075177"/>
    <w:rsid w:val="7FD9B687"/>
    <w:rsid w:val="E9FB0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字符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字符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字符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字符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358</Words>
  <Characters>2042</Characters>
  <Lines>17</Lines>
  <Paragraphs>4</Paragraphs>
  <TotalTime>117</TotalTime>
  <ScaleCrop>false</ScaleCrop>
  <LinksUpToDate>false</LinksUpToDate>
  <CharactersWithSpaces>2396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2018-08-27T09:56:00Z</dcterms:created>
  <dc:creator>shenyanhbxf@126.com</dc:creator>
  <cp:lastModifiedBy>付洪深</cp:lastModifiedBy>
  <dcterms:modified xsi:type="dcterms:W3CDTF">2020-11-03T04:56:44Z</dcterms:modified>
  <cp:revision>5188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